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B48A" w14:textId="701E1291" w:rsidR="00551742" w:rsidRPr="00BE7DA4" w:rsidRDefault="009060E8" w:rsidP="00BE7DA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World War I Australian Soldier – Bibliography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9060E8" w14:paraId="3E6A89E5" w14:textId="77777777" w:rsidTr="00E869E9">
        <w:tc>
          <w:tcPr>
            <w:tcW w:w="5338" w:type="dxa"/>
            <w:vAlign w:val="center"/>
          </w:tcPr>
          <w:p w14:paraId="31190B34" w14:textId="7F06A62C" w:rsidR="009060E8" w:rsidRPr="009060E8" w:rsidRDefault="009060E8" w:rsidP="00A823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338" w:type="dxa"/>
            <w:vAlign w:val="center"/>
          </w:tcPr>
          <w:p w14:paraId="28CF93EC" w14:textId="3D21E3B7" w:rsidR="009060E8" w:rsidRPr="009060E8" w:rsidRDefault="009060E8" w:rsidP="00A823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Reason/ Use For Reference</w:t>
            </w:r>
          </w:p>
        </w:tc>
      </w:tr>
      <w:tr w:rsidR="009060E8" w14:paraId="6307B482" w14:textId="77777777" w:rsidTr="00E869E9">
        <w:tc>
          <w:tcPr>
            <w:tcW w:w="5338" w:type="dxa"/>
            <w:vAlign w:val="center"/>
          </w:tcPr>
          <w:p w14:paraId="79E0C673" w14:textId="6823FFD7" w:rsid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Elliott Woodman BARNETT n.d., accessed 1 March 2016, &lt;https://www.aif.adfa.edu.au/showPerson?pid=14186&gt;.</w:t>
            </w:r>
          </w:p>
          <w:p w14:paraId="1838E2C5" w14:textId="5DD8FFE1" w:rsidR="009060E8" w:rsidRP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</w:p>
        </w:tc>
        <w:tc>
          <w:tcPr>
            <w:tcW w:w="5338" w:type="dxa"/>
            <w:vAlign w:val="center"/>
          </w:tcPr>
          <w:p w14:paraId="59606B78" w14:textId="600C6FE0" w:rsidR="009060E8" w:rsidRDefault="00C8503A" w:rsidP="00A82310">
            <w:pPr>
              <w:spacing w:line="360" w:lineRule="auto"/>
              <w:jc w:val="center"/>
            </w:pPr>
            <w:r>
              <w:t>This website provided me with the general i</w:t>
            </w:r>
            <w:r w:rsidR="00293402">
              <w:t>nformation on</w:t>
            </w:r>
            <w:r>
              <w:t xml:space="preserve"> Elliott Woodman Barnett including his age, marital status, religion, enlistment date, unit name, etc.</w:t>
            </w:r>
          </w:p>
        </w:tc>
      </w:tr>
      <w:tr w:rsidR="009060E8" w14:paraId="3913C9F9" w14:textId="77777777" w:rsidTr="00E869E9">
        <w:tc>
          <w:tcPr>
            <w:tcW w:w="5338" w:type="dxa"/>
            <w:vAlign w:val="center"/>
          </w:tcPr>
          <w:p w14:paraId="3F2A2F4D" w14:textId="481AD144" w:rsid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First World War Embarkation Rolls: Elliott Woodman Barnett n.d., accessed 1 March 2016, &lt;https://www.awm.gov.au/people/rolls/R1933366/&gt;.</w:t>
            </w:r>
          </w:p>
          <w:p w14:paraId="39A4B7DE" w14:textId="68DD4F8D" w:rsidR="009060E8" w:rsidRP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</w:p>
        </w:tc>
        <w:tc>
          <w:tcPr>
            <w:tcW w:w="5338" w:type="dxa"/>
            <w:vAlign w:val="center"/>
          </w:tcPr>
          <w:p w14:paraId="7F2E94EA" w14:textId="0CF386D2" w:rsidR="009060E8" w:rsidRDefault="00E41D35" w:rsidP="00A82310">
            <w:pPr>
              <w:spacing w:line="360" w:lineRule="auto"/>
              <w:jc w:val="center"/>
            </w:pPr>
            <w:r>
              <w:t xml:space="preserve">This website provided me with similar information to the website above, including Elliott’s rank, service number and </w:t>
            </w:r>
            <w:r w:rsidR="005C0D9E">
              <w:t xml:space="preserve">the </w:t>
            </w:r>
            <w:r>
              <w:t>ship he embarked on</w:t>
            </w:r>
            <w:r w:rsidR="00D72322">
              <w:t>.</w:t>
            </w:r>
          </w:p>
        </w:tc>
      </w:tr>
      <w:tr w:rsidR="009060E8" w14:paraId="35340122" w14:textId="77777777" w:rsidTr="00E869E9">
        <w:tc>
          <w:tcPr>
            <w:tcW w:w="5338" w:type="dxa"/>
            <w:vAlign w:val="center"/>
          </w:tcPr>
          <w:p w14:paraId="50656AD3" w14:textId="47DB08B3" w:rsid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Elliott Woodman Barnett n.d., accessed 1 March 2016, &lt;http://recordsearch.naa.gov.au/SearchNRetrieve/Interface/SessionTimeout.aspx&gt;.</w:t>
            </w:r>
          </w:p>
          <w:p w14:paraId="47381DC3" w14:textId="0D41B4E2" w:rsidR="009060E8" w:rsidRP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</w:p>
        </w:tc>
        <w:tc>
          <w:tcPr>
            <w:tcW w:w="5338" w:type="dxa"/>
            <w:vAlign w:val="center"/>
          </w:tcPr>
          <w:p w14:paraId="4EDAA68B" w14:textId="3146B3A0" w:rsidR="009060E8" w:rsidRDefault="00AE5466" w:rsidP="00A82310">
            <w:pPr>
              <w:spacing w:line="360" w:lineRule="auto"/>
              <w:jc w:val="center"/>
            </w:pPr>
            <w:r>
              <w:t xml:space="preserve">More detailed information was included in this document, which was Elliott Woodman Barnett’s registration form to enlist </w:t>
            </w:r>
            <w:r w:rsidR="00232712">
              <w:t xml:space="preserve">in World War I. The information described his previous conviction (if any), body measurements, </w:t>
            </w:r>
            <w:r w:rsidR="000D6928">
              <w:t>next of kin, service agreements</w:t>
            </w:r>
            <w:r w:rsidR="00406BF9">
              <w:t xml:space="preserve"> and promises, </w:t>
            </w:r>
            <w:r w:rsidR="00DC68EA">
              <w:t xml:space="preserve">as well as a list of </w:t>
            </w:r>
            <w:r w:rsidR="0050535E">
              <w:t xml:space="preserve">all </w:t>
            </w:r>
            <w:r w:rsidR="00205ED9">
              <w:t>misbehaviours</w:t>
            </w:r>
            <w:r w:rsidR="0050535E">
              <w:t xml:space="preserve"> and </w:t>
            </w:r>
            <w:r w:rsidR="00205ED9">
              <w:t>illnesses/ injuries acquired whilst in the war</w:t>
            </w:r>
            <w:r w:rsidR="003A7510">
              <w:t xml:space="preserve"> and the medals he received</w:t>
            </w:r>
            <w:r w:rsidR="00D72322">
              <w:t>.</w:t>
            </w:r>
          </w:p>
        </w:tc>
      </w:tr>
      <w:tr w:rsidR="009060E8" w14:paraId="534A6642" w14:textId="77777777" w:rsidTr="00E869E9">
        <w:tc>
          <w:tcPr>
            <w:tcW w:w="5338" w:type="dxa"/>
            <w:vAlign w:val="center"/>
          </w:tcPr>
          <w:p w14:paraId="271C38A4" w14:textId="38E9A38E" w:rsidR="00A82310" w:rsidRPr="009060E8" w:rsidRDefault="009060E8" w:rsidP="00D57CD2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01 March 1916 – Magistrates n.d., accessed 1 March 2016, &lt;http://trove.nla.gov.au/newspaper/article/59633710?searchTerm=(Elliott%20Woodman%20Barnett)%20date:[1897%20TO%201930]&amp;searchLimits=q-field0|||q-type0=all|||q-term0=Elliott+Woodman+Barnett|||q-field1=title%3A|||q-type1=all|||q-term1|||q-field2=creator%3A|||q-type2=all|||q-term2|||q-field3=subject%3A|||q-type3=all|||q-term3|||q-year1-date=1897|||q-year2-date=1930|||l-language=English&gt;.</w:t>
            </w:r>
          </w:p>
        </w:tc>
        <w:tc>
          <w:tcPr>
            <w:tcW w:w="5338" w:type="dxa"/>
            <w:vAlign w:val="center"/>
          </w:tcPr>
          <w:p w14:paraId="00B5A367" w14:textId="1E851D71" w:rsidR="009060E8" w:rsidRDefault="00205ED9" w:rsidP="00253181">
            <w:pPr>
              <w:spacing w:line="360" w:lineRule="auto"/>
              <w:jc w:val="center"/>
            </w:pPr>
            <w:r>
              <w:t xml:space="preserve">On this website, a </w:t>
            </w:r>
            <w:r w:rsidR="00C72303">
              <w:t>supposed conviction was described</w:t>
            </w:r>
            <w:r w:rsidR="00327198">
              <w:t xml:space="preserve">. </w:t>
            </w:r>
            <w:r w:rsidR="00683AAE">
              <w:t xml:space="preserve">In this newspaper, dated 01 March 1916, </w:t>
            </w:r>
            <w:r w:rsidR="00EC0453">
              <w:t xml:space="preserve">Elliott is said to have denied </w:t>
            </w:r>
            <w:r w:rsidR="00F61968">
              <w:t xml:space="preserve">the events that occurred, but in the end, </w:t>
            </w:r>
            <w:r w:rsidR="00253181">
              <w:t>he</w:t>
            </w:r>
            <w:r w:rsidR="00F61968">
              <w:t xml:space="preserve"> is said to have been fined one pound and fifteen shillings</w:t>
            </w:r>
            <w:r w:rsidR="00D72322">
              <w:t>.</w:t>
            </w:r>
          </w:p>
        </w:tc>
      </w:tr>
    </w:tbl>
    <w:p w14:paraId="5E5A5D95" w14:textId="1071FBC2" w:rsidR="00D57CD2" w:rsidRDefault="00D57CD2" w:rsidP="00A82310">
      <w:pPr>
        <w:spacing w:line="360" w:lineRule="auto"/>
      </w:pPr>
    </w:p>
    <w:p w14:paraId="7FD3EE21" w14:textId="77777777" w:rsidR="00D57CD2" w:rsidRDefault="00D57CD2">
      <w:r>
        <w:br w:type="page"/>
      </w:r>
    </w:p>
    <w:p w14:paraId="4DAD67BF" w14:textId="77777777" w:rsidR="009060E8" w:rsidRDefault="009060E8" w:rsidP="00A82310">
      <w:pPr>
        <w:spacing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9060E8" w14:paraId="028262BF" w14:textId="77777777" w:rsidTr="00D72322">
        <w:tc>
          <w:tcPr>
            <w:tcW w:w="5338" w:type="dxa"/>
            <w:vAlign w:val="center"/>
          </w:tcPr>
          <w:p w14:paraId="7B9CDCB8" w14:textId="00637216" w:rsid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01 March 1916 – The Law Courts n.d., accessed 1 March 2016, &lt;http://trove.nla.gov.au/newspaper/article/210462336?searchTerm=(Elliott%20Woodman%20Barnett)%20date:[1897%20TO%201930]&amp;searchLimits=q-field0|||q-type0=all|||q-term0=Elliott+Woodman+Barnett|||q-field1=title%3A|||q-type1=all|||q-term1|||q-field2=creator%3A|||q-type2=all|||q-term2|||q-field3=subject%3A|||q-type3=all|||q-term3|||q-year1-date=1897|||q-year2-date=1930|||l-language=English&gt;.</w:t>
            </w:r>
          </w:p>
          <w:p w14:paraId="6841C286" w14:textId="1CDFAB7D" w:rsidR="009060E8" w:rsidRP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</w:p>
        </w:tc>
        <w:tc>
          <w:tcPr>
            <w:tcW w:w="5338" w:type="dxa"/>
            <w:vAlign w:val="center"/>
          </w:tcPr>
          <w:p w14:paraId="3DD07E19" w14:textId="1381B618" w:rsidR="009060E8" w:rsidRDefault="00D72322" w:rsidP="00A82310">
            <w:pPr>
              <w:spacing w:line="360" w:lineRule="auto"/>
              <w:jc w:val="center"/>
            </w:pPr>
            <w:r>
              <w:t>The information recorded on this website (a newspaper once again) is the same as the information from the above website</w:t>
            </w:r>
            <w:r w:rsidR="00AF3D11">
              <w:t>, (describing the incident that occurred on the 19</w:t>
            </w:r>
            <w:r w:rsidR="00AF3D11" w:rsidRPr="00AF3D11">
              <w:rPr>
                <w:vertAlign w:val="superscript"/>
              </w:rPr>
              <w:t>th</w:t>
            </w:r>
            <w:r w:rsidR="00AF3D11">
              <w:t xml:space="preserve"> of February 1916).</w:t>
            </w:r>
          </w:p>
        </w:tc>
      </w:tr>
      <w:tr w:rsidR="009060E8" w14:paraId="3199878E" w14:textId="77777777" w:rsidTr="00D72322">
        <w:tc>
          <w:tcPr>
            <w:tcW w:w="5338" w:type="dxa"/>
            <w:vAlign w:val="center"/>
          </w:tcPr>
          <w:p w14:paraId="435A55DD" w14:textId="021C607B" w:rsid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01 March 1916 – Offending Motorists n.d., accessed 1 March 2016, &lt;http://trove.nla.gov.au/newspaper/article/124908721?searchTerm=(Elliott%20Woodman%20Barnett)%20date:[1897%20TO%201930]&amp;searchLimits=q-field0|||q-type0=all|||q-term0=Elliott+Woodman+Barnett|||q-field1=title%3A|||q-type1=all|||q-term1|||q-field2=creator%3A|||q-type2=all|||q-term2|||q-field3=subject%3A|||q-type3=all|||q-term3|||q-year1-date=1897|||q-year2-date=1930|||l-language=English&gt;.</w:t>
            </w:r>
          </w:p>
          <w:p w14:paraId="5F12EECF" w14:textId="4BC2A45D" w:rsidR="009060E8" w:rsidRP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</w:p>
        </w:tc>
        <w:tc>
          <w:tcPr>
            <w:tcW w:w="5338" w:type="dxa"/>
            <w:vAlign w:val="center"/>
          </w:tcPr>
          <w:p w14:paraId="74606898" w14:textId="3A561573" w:rsidR="009060E8" w:rsidRDefault="00560CC1" w:rsidP="00A82310">
            <w:pPr>
              <w:spacing w:line="360" w:lineRule="auto"/>
              <w:jc w:val="center"/>
            </w:pPr>
            <w:r>
              <w:t>The information recorded on this website (a newspaper once again) is the same as the information from the above website</w:t>
            </w:r>
            <w:r w:rsidR="00AF3D11">
              <w:t>, (describing the incident that occurred on the 19</w:t>
            </w:r>
            <w:r w:rsidR="00AF3D11" w:rsidRPr="00AF3D11">
              <w:rPr>
                <w:vertAlign w:val="superscript"/>
              </w:rPr>
              <w:t>th</w:t>
            </w:r>
            <w:r w:rsidR="00AF3D11">
              <w:t xml:space="preserve"> of February 1916)</w:t>
            </w:r>
            <w:r>
              <w:t>.</w:t>
            </w:r>
          </w:p>
        </w:tc>
      </w:tr>
      <w:tr w:rsidR="009060E8" w14:paraId="0E7D5734" w14:textId="77777777" w:rsidTr="00D72322">
        <w:tc>
          <w:tcPr>
            <w:tcW w:w="5338" w:type="dxa"/>
            <w:vAlign w:val="center"/>
          </w:tcPr>
          <w:p w14:paraId="4592F6F4" w14:textId="15AE01CA" w:rsidR="009060E8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British War Medal n.d., accessed 13 March 2016, &lt;http://www.defence.gov.au/Medals/Imperial/WWI/British-War-Medal-1914-20.asp&gt;.</w:t>
            </w:r>
          </w:p>
          <w:p w14:paraId="69F221A2" w14:textId="7F60F48E" w:rsidR="00A82310" w:rsidRPr="009060E8" w:rsidRDefault="00A82310" w:rsidP="00A82310">
            <w:pPr>
              <w:spacing w:line="360" w:lineRule="auto"/>
              <w:rPr>
                <w:rFonts w:cs="OpenSans"/>
                <w:color w:val="262626"/>
              </w:rPr>
            </w:pPr>
          </w:p>
        </w:tc>
        <w:tc>
          <w:tcPr>
            <w:tcW w:w="5338" w:type="dxa"/>
            <w:vAlign w:val="center"/>
          </w:tcPr>
          <w:p w14:paraId="090135E5" w14:textId="4DB30CB7" w:rsidR="009060E8" w:rsidRPr="00560CC1" w:rsidRDefault="00FB7C0D" w:rsidP="00A82310">
            <w:pPr>
              <w:spacing w:line="360" w:lineRule="auto"/>
              <w:jc w:val="center"/>
              <w:rPr>
                <w:vertAlign w:val="subscript"/>
              </w:rPr>
            </w:pPr>
            <w:r>
              <w:t>This website defines what a British War Medal is and who receives this medal, along with the design of the medal.</w:t>
            </w:r>
          </w:p>
        </w:tc>
      </w:tr>
    </w:tbl>
    <w:p w14:paraId="6170D52A" w14:textId="07A320FE" w:rsidR="009060E8" w:rsidRDefault="009060E8" w:rsidP="00A82310">
      <w:pPr>
        <w:spacing w:line="36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9060E8" w14:paraId="70BF7F76" w14:textId="77777777" w:rsidTr="00560CC1">
        <w:tc>
          <w:tcPr>
            <w:tcW w:w="5338" w:type="dxa"/>
            <w:vAlign w:val="center"/>
          </w:tcPr>
          <w:p w14:paraId="09D3B8A8" w14:textId="4F875F96" w:rsidR="009060E8" w:rsidRPr="0083675D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STAR Medal n.d., accessed 13 March 2016, &lt;http://www.greatwar.co.uk/medals/ww1-campaign-medals.htm&gt;.</w:t>
            </w:r>
          </w:p>
          <w:p w14:paraId="79872487" w14:textId="77777777" w:rsidR="009060E8" w:rsidRDefault="009060E8" w:rsidP="00A82310">
            <w:pPr>
              <w:spacing w:line="360" w:lineRule="auto"/>
            </w:pPr>
          </w:p>
        </w:tc>
        <w:tc>
          <w:tcPr>
            <w:tcW w:w="5338" w:type="dxa"/>
            <w:vAlign w:val="center"/>
          </w:tcPr>
          <w:p w14:paraId="5091498D" w14:textId="220285CF" w:rsidR="009060E8" w:rsidRDefault="00FB7C0D" w:rsidP="00A82310">
            <w:pPr>
              <w:spacing w:line="360" w:lineRule="auto"/>
              <w:jc w:val="center"/>
            </w:pPr>
            <w:r>
              <w:t>The information on this website defines what a STAR medal is, that is, how it is earned, and the design.</w:t>
            </w:r>
          </w:p>
        </w:tc>
      </w:tr>
      <w:tr w:rsidR="009060E8" w14:paraId="58CA7A1B" w14:textId="77777777" w:rsidTr="00560CC1">
        <w:tc>
          <w:tcPr>
            <w:tcW w:w="5338" w:type="dxa"/>
            <w:vAlign w:val="center"/>
          </w:tcPr>
          <w:p w14:paraId="65FC7BF9" w14:textId="176AE6CF" w:rsidR="009060E8" w:rsidRPr="0083675D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Victory Medal n.d., accessed 13 March 2016, &lt;http://www.defence.gov.au/Medals/Imperial/WWI/Victory-Medal.asp&gt;.</w:t>
            </w:r>
          </w:p>
          <w:p w14:paraId="7D89B884" w14:textId="77777777" w:rsidR="009060E8" w:rsidRDefault="009060E8" w:rsidP="00A82310">
            <w:pPr>
              <w:spacing w:line="360" w:lineRule="auto"/>
            </w:pPr>
          </w:p>
        </w:tc>
        <w:tc>
          <w:tcPr>
            <w:tcW w:w="5338" w:type="dxa"/>
            <w:vAlign w:val="center"/>
          </w:tcPr>
          <w:p w14:paraId="27789A76" w14:textId="731948FB" w:rsidR="009060E8" w:rsidRDefault="00FB7C0D" w:rsidP="00A82310">
            <w:pPr>
              <w:spacing w:line="360" w:lineRule="auto"/>
              <w:jc w:val="center"/>
            </w:pPr>
            <w:r>
              <w:t xml:space="preserve">The information on this website defines what a Victory Medal </w:t>
            </w:r>
            <w:r w:rsidR="003A5DC6">
              <w:t xml:space="preserve">is, </w:t>
            </w:r>
            <w:r>
              <w:t>(along wi</w:t>
            </w:r>
            <w:r w:rsidR="00752F5B">
              <w:t>th a number of other medals),</w:t>
            </w:r>
            <w:r>
              <w:t xml:space="preserve"> that is, the design, history and how it is earned.</w:t>
            </w:r>
          </w:p>
        </w:tc>
      </w:tr>
      <w:tr w:rsidR="009060E8" w14:paraId="46CB8783" w14:textId="77777777" w:rsidTr="00560CC1">
        <w:tc>
          <w:tcPr>
            <w:tcW w:w="5338" w:type="dxa"/>
            <w:vAlign w:val="center"/>
          </w:tcPr>
          <w:p w14:paraId="30E90422" w14:textId="7B253ECE" w:rsidR="009060E8" w:rsidRPr="0083675D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Australian Imperial Force n.d., accessed 16 March 2016, &lt;https://www.awm.gov.au/images/collection/items/ACCNUM_LARGE/RCDIG1067828/RCDIG1067828--201-.JPG&gt;.</w:t>
            </w:r>
          </w:p>
          <w:p w14:paraId="6ABB4475" w14:textId="77777777" w:rsidR="009060E8" w:rsidRDefault="009060E8" w:rsidP="00A82310">
            <w:pPr>
              <w:spacing w:line="360" w:lineRule="auto"/>
            </w:pPr>
          </w:p>
        </w:tc>
        <w:tc>
          <w:tcPr>
            <w:tcW w:w="5338" w:type="dxa"/>
            <w:vAlign w:val="center"/>
          </w:tcPr>
          <w:p w14:paraId="2D3E36DD" w14:textId="450F178A" w:rsidR="009060E8" w:rsidRDefault="004766ED" w:rsidP="00A82310">
            <w:pPr>
              <w:spacing w:line="360" w:lineRule="auto"/>
              <w:jc w:val="center"/>
            </w:pPr>
            <w:r>
              <w:t>This information discusses his embarkation, age, next of kin, religion, but also his pay and unit.</w:t>
            </w:r>
          </w:p>
        </w:tc>
      </w:tr>
      <w:tr w:rsidR="009060E8" w14:paraId="7EAF12AF" w14:textId="77777777" w:rsidTr="00560CC1">
        <w:tc>
          <w:tcPr>
            <w:tcW w:w="5338" w:type="dxa"/>
            <w:vAlign w:val="center"/>
          </w:tcPr>
          <w:p w14:paraId="016545E8" w14:textId="5EE75A19" w:rsidR="009060E8" w:rsidRPr="0083675D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>WWI Troop Ships: Journeys Across the Indian Ocean n.d., accessed 16 March 2016, &lt;http://www.murphyswar.com.au/ww1-troop-ships-across-the-indian-ocean/&gt;.</w:t>
            </w:r>
          </w:p>
          <w:p w14:paraId="091A9485" w14:textId="77777777" w:rsidR="009060E8" w:rsidRDefault="009060E8" w:rsidP="00A82310">
            <w:pPr>
              <w:spacing w:line="360" w:lineRule="auto"/>
            </w:pPr>
          </w:p>
        </w:tc>
        <w:tc>
          <w:tcPr>
            <w:tcW w:w="5338" w:type="dxa"/>
            <w:vAlign w:val="center"/>
          </w:tcPr>
          <w:p w14:paraId="5BC06351" w14:textId="6A01F12D" w:rsidR="009060E8" w:rsidRDefault="00817F34" w:rsidP="00A82310">
            <w:pPr>
              <w:spacing w:line="360" w:lineRule="auto"/>
              <w:jc w:val="center"/>
            </w:pPr>
            <w:r>
              <w:t xml:space="preserve">The information on this website discusses </w:t>
            </w:r>
            <w:r w:rsidR="00F948CA">
              <w:t>HMAT Aeneas A60</w:t>
            </w:r>
            <w:r w:rsidR="005A1D55">
              <w:t>, which is the boat Elliot Woodman Barnett travels on to reach his training location</w:t>
            </w:r>
            <w:r w:rsidR="00913B30">
              <w:t>.</w:t>
            </w:r>
          </w:p>
        </w:tc>
      </w:tr>
      <w:tr w:rsidR="009060E8" w14:paraId="3D805340" w14:textId="77777777" w:rsidTr="00560CC1">
        <w:tc>
          <w:tcPr>
            <w:tcW w:w="5338" w:type="dxa"/>
            <w:vAlign w:val="center"/>
          </w:tcPr>
          <w:p w14:paraId="5BF6E9A2" w14:textId="6C785542" w:rsidR="009060E8" w:rsidRPr="0083675D" w:rsidRDefault="009060E8" w:rsidP="00A82310">
            <w:pPr>
              <w:spacing w:line="360" w:lineRule="auto"/>
              <w:rPr>
                <w:rFonts w:cs="OpenSans"/>
                <w:color w:val="262626"/>
              </w:rPr>
            </w:pPr>
            <w:r w:rsidRPr="0083675D">
              <w:rPr>
                <w:rFonts w:cs="OpenSans"/>
                <w:color w:val="262626"/>
              </w:rPr>
              <w:t xml:space="preserve">50th Infantry Battalion n.d., </w:t>
            </w:r>
            <w:bookmarkStart w:id="0" w:name="_GoBack"/>
            <w:bookmarkEnd w:id="0"/>
            <w:r w:rsidRPr="0083675D">
              <w:rPr>
                <w:rFonts w:cs="OpenSans"/>
                <w:color w:val="262626"/>
              </w:rPr>
              <w:t>accessed 20 March 2016, &lt;http://monumentaustralia.org.au/themes/conflict/ww1/display/100348-50th-infantry-battalion&gt;.</w:t>
            </w:r>
          </w:p>
          <w:p w14:paraId="1D6CB1DF" w14:textId="77777777" w:rsidR="009060E8" w:rsidRDefault="009060E8" w:rsidP="00A82310">
            <w:pPr>
              <w:spacing w:line="360" w:lineRule="auto"/>
            </w:pPr>
          </w:p>
        </w:tc>
        <w:tc>
          <w:tcPr>
            <w:tcW w:w="5338" w:type="dxa"/>
            <w:vAlign w:val="center"/>
          </w:tcPr>
          <w:p w14:paraId="6DF079DF" w14:textId="6F074AF6" w:rsidR="009060E8" w:rsidRDefault="00913B30" w:rsidP="008F6039">
            <w:pPr>
              <w:spacing w:line="360" w:lineRule="auto"/>
              <w:jc w:val="center"/>
            </w:pPr>
            <w:r>
              <w:t>On this website, Elliott’s unit, 50</w:t>
            </w:r>
            <w:r w:rsidRPr="00913B30">
              <w:rPr>
                <w:vertAlign w:val="superscript"/>
              </w:rPr>
              <w:t>th</w:t>
            </w:r>
            <w:r>
              <w:t xml:space="preserve"> Infantry Battalion, is </w:t>
            </w:r>
            <w:r w:rsidR="008F6039">
              <w:t>discussed</w:t>
            </w:r>
            <w:r>
              <w:t xml:space="preserve">. Following a definition of the unit is a brief history, </w:t>
            </w:r>
            <w:r w:rsidR="0084609B">
              <w:t>including the fi</w:t>
            </w:r>
            <w:r w:rsidR="00E911DC">
              <w:t>rst major battle fought by the 50</w:t>
            </w:r>
            <w:r w:rsidR="00E911DC" w:rsidRPr="00E911DC">
              <w:rPr>
                <w:vertAlign w:val="superscript"/>
              </w:rPr>
              <w:t>th</w:t>
            </w:r>
            <w:r w:rsidR="00E911DC">
              <w:t xml:space="preserve"> Infantry B</w:t>
            </w:r>
            <w:r w:rsidR="0084609B">
              <w:t xml:space="preserve">attalion, and </w:t>
            </w:r>
            <w:r w:rsidR="00E911DC">
              <w:t>which men were included in the 50</w:t>
            </w:r>
            <w:r w:rsidR="00E911DC" w:rsidRPr="00E911DC">
              <w:rPr>
                <w:vertAlign w:val="superscript"/>
              </w:rPr>
              <w:t>th</w:t>
            </w:r>
            <w:r w:rsidR="00E911DC">
              <w:t xml:space="preserve"> Infantry B</w:t>
            </w:r>
            <w:r w:rsidR="0084609B">
              <w:t>attalion.</w:t>
            </w:r>
          </w:p>
        </w:tc>
      </w:tr>
    </w:tbl>
    <w:p w14:paraId="611C668D" w14:textId="77777777" w:rsidR="0083675D" w:rsidRDefault="0083675D"/>
    <w:p w14:paraId="4CBB2E2D" w14:textId="63958837" w:rsidR="00BE7DA4" w:rsidRDefault="00BE7DA4" w:rsidP="00BE7DA4">
      <w:pPr>
        <w:spacing w:line="360" w:lineRule="auto"/>
      </w:pPr>
      <w:r>
        <w:t xml:space="preserve">The above table describes a list of </w:t>
      </w:r>
      <w:r w:rsidR="00EE0DF4">
        <w:t>s</w:t>
      </w:r>
      <w:r>
        <w:t>econdary</w:t>
      </w:r>
      <w:r w:rsidR="00EE0DF4">
        <w:t xml:space="preserve"> r</w:t>
      </w:r>
      <w:r>
        <w:t xml:space="preserve">esources used to find information on my World War I solider, Elliott Woodman Barnett. The table shows the correct referencing for the website URL in the left column and a description of </w:t>
      </w:r>
      <w:r w:rsidR="008C146A">
        <w:t>what was included in the website and what information I used in the right column.</w:t>
      </w:r>
    </w:p>
    <w:sectPr w:rsidR="00BE7DA4" w:rsidSect="00A82310">
      <w:footerReference w:type="even" r:id="rId8"/>
      <w:footerReference w:type="default" r:id="rId9"/>
      <w:pgSz w:w="11900" w:h="16840"/>
      <w:pgMar w:top="567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31532" w14:textId="77777777" w:rsidR="00E74EAB" w:rsidRDefault="00E74EAB" w:rsidP="009060E8">
      <w:r>
        <w:separator/>
      </w:r>
    </w:p>
  </w:endnote>
  <w:endnote w:type="continuationSeparator" w:id="0">
    <w:p w14:paraId="37FB485D" w14:textId="77777777" w:rsidR="00E74EAB" w:rsidRDefault="00E74EAB" w:rsidP="0090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4E6A" w14:textId="77777777" w:rsidR="00E74EAB" w:rsidRDefault="00E74EAB" w:rsidP="00906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4479D" w14:textId="77777777" w:rsidR="00E74EAB" w:rsidRDefault="00E74EAB" w:rsidP="009060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8474" w14:textId="77777777" w:rsidR="00E74EAB" w:rsidRDefault="00E74EAB" w:rsidP="00906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C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40F58" w14:textId="7C838D84" w:rsidR="00E74EAB" w:rsidRDefault="00E74EAB" w:rsidP="009060E8">
    <w:pPr>
      <w:pStyle w:val="Footer"/>
      <w:ind w:right="360"/>
    </w:pPr>
    <w:r>
      <w:t>By Elizabeth Taddeo 9.2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A560" w14:textId="77777777" w:rsidR="00E74EAB" w:rsidRDefault="00E74EAB" w:rsidP="009060E8">
      <w:r>
        <w:separator/>
      </w:r>
    </w:p>
  </w:footnote>
  <w:footnote w:type="continuationSeparator" w:id="0">
    <w:p w14:paraId="1F70253A" w14:textId="77777777" w:rsidR="00E74EAB" w:rsidRDefault="00E74EAB" w:rsidP="0090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3"/>
    <w:rsid w:val="000D6928"/>
    <w:rsid w:val="0010129C"/>
    <w:rsid w:val="00205ED9"/>
    <w:rsid w:val="00232712"/>
    <w:rsid w:val="00253181"/>
    <w:rsid w:val="00293402"/>
    <w:rsid w:val="00327198"/>
    <w:rsid w:val="003A5DC6"/>
    <w:rsid w:val="003A7510"/>
    <w:rsid w:val="00406BF9"/>
    <w:rsid w:val="004766ED"/>
    <w:rsid w:val="004D05AE"/>
    <w:rsid w:val="0050535E"/>
    <w:rsid w:val="00551742"/>
    <w:rsid w:val="00560CC1"/>
    <w:rsid w:val="00566FC3"/>
    <w:rsid w:val="005A1D55"/>
    <w:rsid w:val="005C0D9E"/>
    <w:rsid w:val="005D76D3"/>
    <w:rsid w:val="00683AAE"/>
    <w:rsid w:val="007178B6"/>
    <w:rsid w:val="00752F5B"/>
    <w:rsid w:val="00817F34"/>
    <w:rsid w:val="0083675D"/>
    <w:rsid w:val="00840213"/>
    <w:rsid w:val="0084609B"/>
    <w:rsid w:val="008C146A"/>
    <w:rsid w:val="008F6039"/>
    <w:rsid w:val="009060E8"/>
    <w:rsid w:val="00913B30"/>
    <w:rsid w:val="00995F9A"/>
    <w:rsid w:val="00A82310"/>
    <w:rsid w:val="00AE5466"/>
    <w:rsid w:val="00AF3D11"/>
    <w:rsid w:val="00B02510"/>
    <w:rsid w:val="00BC225E"/>
    <w:rsid w:val="00BE7DA4"/>
    <w:rsid w:val="00C05304"/>
    <w:rsid w:val="00C570E7"/>
    <w:rsid w:val="00C72303"/>
    <w:rsid w:val="00C8503A"/>
    <w:rsid w:val="00D57CD2"/>
    <w:rsid w:val="00D72322"/>
    <w:rsid w:val="00DC68EA"/>
    <w:rsid w:val="00DD7336"/>
    <w:rsid w:val="00E41D35"/>
    <w:rsid w:val="00E74EAB"/>
    <w:rsid w:val="00E869E9"/>
    <w:rsid w:val="00E911DC"/>
    <w:rsid w:val="00EC0453"/>
    <w:rsid w:val="00EE0DF4"/>
    <w:rsid w:val="00F61968"/>
    <w:rsid w:val="00F926EA"/>
    <w:rsid w:val="00F948CA"/>
    <w:rsid w:val="00FB7C0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185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6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0E8"/>
  </w:style>
  <w:style w:type="character" w:styleId="PageNumber">
    <w:name w:val="page number"/>
    <w:basedOn w:val="DefaultParagraphFont"/>
    <w:uiPriority w:val="99"/>
    <w:semiHidden/>
    <w:unhideWhenUsed/>
    <w:rsid w:val="009060E8"/>
  </w:style>
  <w:style w:type="paragraph" w:styleId="Header">
    <w:name w:val="header"/>
    <w:basedOn w:val="Normal"/>
    <w:link w:val="HeaderChar"/>
    <w:uiPriority w:val="99"/>
    <w:unhideWhenUsed/>
    <w:rsid w:val="00906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0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6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0E8"/>
  </w:style>
  <w:style w:type="character" w:styleId="PageNumber">
    <w:name w:val="page number"/>
    <w:basedOn w:val="DefaultParagraphFont"/>
    <w:uiPriority w:val="99"/>
    <w:semiHidden/>
    <w:unhideWhenUsed/>
    <w:rsid w:val="009060E8"/>
  </w:style>
  <w:style w:type="paragraph" w:styleId="Header">
    <w:name w:val="header"/>
    <w:basedOn w:val="Normal"/>
    <w:link w:val="HeaderChar"/>
    <w:uiPriority w:val="99"/>
    <w:unhideWhenUsed/>
    <w:rsid w:val="00906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2CFEA-E926-1B4A-A42A-A043CE8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763</Words>
  <Characters>4351</Characters>
  <Application>Microsoft Macintosh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Taddeo</dc:creator>
  <cp:keywords/>
  <dc:description/>
  <cp:lastModifiedBy>Elizabeth Taddeo</cp:lastModifiedBy>
  <cp:revision>51</cp:revision>
  <dcterms:created xsi:type="dcterms:W3CDTF">2016-03-22T01:58:00Z</dcterms:created>
  <dcterms:modified xsi:type="dcterms:W3CDTF">2016-03-23T02:37:00Z</dcterms:modified>
</cp:coreProperties>
</file>